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CB6461">
      <w:pPr>
        <w:rPr>
          <w:rFonts w:hint="default"/>
          <w:lang w:val="en-US" w:eastAsia="zh-CN"/>
        </w:rPr>
      </w:pPr>
      <w:r>
        <w:rPr>
          <w:rFonts w:hint="eastAsia"/>
          <w:lang w:val="en-US" w:eastAsia="zh-CN"/>
        </w:rPr>
        <w:t>科室：病理医学中心</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5"/>
        <w:gridCol w:w="3933"/>
        <w:gridCol w:w="2984"/>
      </w:tblGrid>
      <w:tr w14:paraId="21FC9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trPr>
        <w:tc>
          <w:tcPr>
            <w:tcW w:w="1605" w:type="dxa"/>
          </w:tcPr>
          <w:p w14:paraId="5FD9CFAB">
            <w:pPr>
              <w:rPr>
                <w:rFonts w:hint="default"/>
                <w:b/>
                <w:bCs/>
                <w:lang w:val="en-US" w:eastAsia="zh-CN"/>
              </w:rPr>
            </w:pPr>
            <w:r>
              <w:rPr>
                <w:rFonts w:hint="eastAsia"/>
                <w:b/>
                <w:bCs/>
                <w:lang w:val="en-US" w:eastAsia="zh-CN"/>
              </w:rPr>
              <w:t>招收专业/亚专业（如有多个亚专业请另加一行填写）</w:t>
            </w:r>
          </w:p>
        </w:tc>
        <w:tc>
          <w:tcPr>
            <w:tcW w:w="6917" w:type="dxa"/>
            <w:gridSpan w:val="2"/>
          </w:tcPr>
          <w:p w14:paraId="3DB537B1">
            <w:pPr>
              <w:rPr>
                <w:rFonts w:hint="eastAsia"/>
                <w:vertAlign w:val="baseline"/>
                <w:lang w:val="en-US" w:eastAsia="zh-CN"/>
              </w:rPr>
            </w:pPr>
          </w:p>
          <w:p w14:paraId="4C46DF23">
            <w:pPr>
              <w:rPr>
                <w:rFonts w:hint="eastAsia"/>
                <w:vertAlign w:val="baseline"/>
                <w:lang w:val="en-US" w:eastAsia="zh-CN"/>
              </w:rPr>
            </w:pPr>
            <w:r>
              <w:rPr>
                <w:rFonts w:hint="eastAsia"/>
                <w:vertAlign w:val="baseline"/>
                <w:lang w:val="en-US" w:eastAsia="zh-CN"/>
              </w:rPr>
              <w:t>病理诊断医师：临床医学、病理学与病理生理学、临床病理。</w:t>
            </w:r>
          </w:p>
          <w:p w14:paraId="70AB4F53">
            <w:pPr>
              <w:rPr>
                <w:rFonts w:hint="default"/>
                <w:vertAlign w:val="baseline"/>
                <w:lang w:val="en-US" w:eastAsia="zh-CN"/>
              </w:rPr>
            </w:pPr>
            <w:r>
              <w:rPr>
                <w:rFonts w:hint="eastAsia"/>
                <w:vertAlign w:val="baseline"/>
                <w:lang w:val="en-US" w:eastAsia="zh-CN"/>
              </w:rPr>
              <w:t>病理技术人员</w:t>
            </w:r>
            <w:bookmarkStart w:id="0" w:name="_GoBack"/>
            <w:bookmarkEnd w:id="0"/>
            <w:r>
              <w:rPr>
                <w:rFonts w:hint="eastAsia"/>
                <w:vertAlign w:val="baseline"/>
                <w:lang w:val="en-US" w:eastAsia="zh-CN"/>
              </w:rPr>
              <w:t>：临床医学、病理学与病理生理学、临床病理、医学检验等医学相关专业。</w:t>
            </w:r>
          </w:p>
        </w:tc>
      </w:tr>
      <w:tr w14:paraId="136FB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0" w:hRule="atLeast"/>
        </w:trPr>
        <w:tc>
          <w:tcPr>
            <w:tcW w:w="1605" w:type="dxa"/>
          </w:tcPr>
          <w:p w14:paraId="3829B9A3">
            <w:pPr>
              <w:rPr>
                <w:rFonts w:hint="default"/>
                <w:b/>
                <w:bCs/>
                <w:lang w:val="en-US" w:eastAsia="zh-CN"/>
              </w:rPr>
            </w:pPr>
            <w:r>
              <w:rPr>
                <w:rFonts w:hint="eastAsia"/>
                <w:b/>
                <w:bCs/>
                <w:lang w:val="en-US" w:eastAsia="zh-CN"/>
              </w:rPr>
              <w:t>进修生资格要求</w:t>
            </w:r>
          </w:p>
        </w:tc>
        <w:tc>
          <w:tcPr>
            <w:tcW w:w="6917" w:type="dxa"/>
            <w:gridSpan w:val="2"/>
          </w:tcPr>
          <w:p w14:paraId="497A1D44">
            <w:pPr>
              <w:spacing w:line="360" w:lineRule="auto"/>
              <w:rPr>
                <w:rFonts w:hint="eastAsia" w:ascii="宋体" w:hAnsi="宋体" w:eastAsia="宋体" w:cs="宋体"/>
                <w:sz w:val="21"/>
                <w:szCs w:val="21"/>
              </w:rPr>
            </w:pPr>
            <w:r>
              <w:rPr>
                <w:rFonts w:hint="eastAsia" w:ascii="宋体" w:hAnsi="宋体" w:eastAsia="宋体" w:cs="宋体"/>
                <w:sz w:val="21"/>
                <w:szCs w:val="21"/>
                <w:lang w:val="en-US" w:eastAsia="zh-CN"/>
              </w:rPr>
              <w:t>（一）原则上为二级及以上医疗保健机构的专业技术人员。</w:t>
            </w:r>
          </w:p>
          <w:p w14:paraId="51FF1ADD">
            <w:pPr>
              <w:spacing w:line="360" w:lineRule="auto"/>
              <w:rPr>
                <w:rFonts w:hint="default"/>
                <w:vertAlign w:val="baseline"/>
                <w:lang w:val="en-US" w:eastAsia="zh-CN"/>
              </w:rPr>
            </w:pPr>
            <w:r>
              <w:rPr>
                <w:rFonts w:hint="eastAsia" w:ascii="宋体" w:hAnsi="宋体" w:eastAsia="宋体" w:cs="宋体"/>
                <w:sz w:val="21"/>
                <w:szCs w:val="21"/>
                <w:lang w:val="en-US" w:eastAsia="zh-CN"/>
              </w:rPr>
              <w:t>（二）医师进修学员原则上须具备本科及以上学历，一</w:t>
            </w:r>
            <w:r>
              <w:rPr>
                <w:rFonts w:hint="eastAsia" w:ascii="宋体" w:hAnsi="宋体" w:eastAsia="宋体" w:cs="宋体"/>
                <w:sz w:val="21"/>
                <w:szCs w:val="21"/>
              </w:rPr>
              <w:t>年及以上相应工作经历</w:t>
            </w:r>
            <w:r>
              <w:rPr>
                <w:rFonts w:hint="eastAsia" w:ascii="宋体" w:hAnsi="宋体" w:eastAsia="宋体" w:cs="宋体"/>
                <w:sz w:val="21"/>
                <w:szCs w:val="21"/>
                <w:lang w:eastAsia="zh-CN"/>
              </w:rPr>
              <w:t>；</w:t>
            </w:r>
            <w:r>
              <w:rPr>
                <w:rFonts w:hint="eastAsia" w:ascii="宋体" w:hAnsi="宋体" w:eastAsia="宋体" w:cs="宋体"/>
                <w:sz w:val="21"/>
                <w:szCs w:val="21"/>
              </w:rPr>
              <w:t>技</w:t>
            </w:r>
            <w:r>
              <w:rPr>
                <w:rFonts w:hint="eastAsia" w:ascii="宋体" w:hAnsi="宋体" w:eastAsia="宋体" w:cs="宋体"/>
                <w:sz w:val="21"/>
                <w:szCs w:val="21"/>
                <w:lang w:val="en-US" w:eastAsia="zh-CN"/>
              </w:rPr>
              <w:t>师</w:t>
            </w:r>
            <w:r>
              <w:rPr>
                <w:rFonts w:hint="eastAsia" w:ascii="宋体" w:hAnsi="宋体" w:eastAsia="宋体" w:cs="宋体"/>
                <w:sz w:val="21"/>
                <w:szCs w:val="21"/>
              </w:rPr>
              <w:t>进修学员原则上须具备医学院校大专学历、</w:t>
            </w:r>
            <w:r>
              <w:rPr>
                <w:rFonts w:hint="eastAsia" w:ascii="宋体" w:hAnsi="宋体" w:eastAsia="宋体" w:cs="宋体"/>
                <w:sz w:val="21"/>
                <w:szCs w:val="21"/>
                <w:lang w:val="en-US" w:eastAsia="zh-CN"/>
              </w:rPr>
              <w:t>一</w:t>
            </w:r>
            <w:r>
              <w:rPr>
                <w:rFonts w:hint="eastAsia" w:ascii="宋体" w:hAnsi="宋体" w:eastAsia="宋体" w:cs="宋体"/>
                <w:sz w:val="21"/>
                <w:szCs w:val="21"/>
              </w:rPr>
              <w:t>年及以上相应工作经历，</w:t>
            </w:r>
            <w:r>
              <w:rPr>
                <w:rFonts w:hint="eastAsia" w:ascii="宋体" w:hAnsi="宋体" w:eastAsia="宋体" w:cs="宋体"/>
                <w:sz w:val="21"/>
                <w:szCs w:val="21"/>
                <w:lang w:val="en-US" w:eastAsia="zh-CN"/>
              </w:rPr>
              <w:t>以上特别优秀者可适当放宽条件</w:t>
            </w:r>
            <w:r>
              <w:rPr>
                <w:rFonts w:hint="eastAsia" w:ascii="宋体" w:hAnsi="宋体" w:eastAsia="宋体" w:cs="宋体"/>
                <w:sz w:val="21"/>
                <w:szCs w:val="21"/>
              </w:rPr>
              <w:t>。</w:t>
            </w:r>
            <w:r>
              <w:rPr>
                <w:rFonts w:hint="eastAsia" w:ascii="宋体" w:hAnsi="宋体" w:eastAsia="宋体" w:cs="宋体"/>
                <w:sz w:val="21"/>
                <w:szCs w:val="21"/>
                <w:lang w:val="en-US" w:eastAsia="zh-CN"/>
              </w:rPr>
              <w:t xml:space="preserve">进修医师应具有《医师资格证书》和相应专业的《医师执业证书》。 </w:t>
            </w:r>
            <w:r>
              <w:rPr>
                <w:rFonts w:hint="eastAsia" w:ascii="宋体" w:hAnsi="宋体" w:eastAsia="宋体" w:cs="宋体"/>
                <w:i w:val="0"/>
                <w:caps w:val="0"/>
                <w:color w:val="333333"/>
                <w:spacing w:val="0"/>
                <w:kern w:val="0"/>
                <w:sz w:val="21"/>
                <w:szCs w:val="21"/>
                <w:shd w:val="clear" w:fill="FFFFFF"/>
                <w:lang w:val="en-US" w:eastAsia="zh-CN" w:bidi="ar"/>
              </w:rPr>
              <w:t> </w:t>
            </w:r>
          </w:p>
        </w:tc>
      </w:tr>
      <w:tr w14:paraId="1E031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2" w:hRule="atLeast"/>
        </w:trPr>
        <w:tc>
          <w:tcPr>
            <w:tcW w:w="1605" w:type="dxa"/>
          </w:tcPr>
          <w:p w14:paraId="6DBF1A45">
            <w:pPr>
              <w:rPr>
                <w:rFonts w:hint="default"/>
                <w:b/>
                <w:bCs/>
                <w:lang w:val="en-US" w:eastAsia="zh-CN"/>
              </w:rPr>
            </w:pPr>
            <w:r>
              <w:rPr>
                <w:rFonts w:hint="eastAsia"/>
                <w:b/>
                <w:bCs/>
                <w:lang w:val="en-US" w:eastAsia="zh-CN"/>
              </w:rPr>
              <w:t>科室介绍</w:t>
            </w:r>
          </w:p>
        </w:tc>
        <w:tc>
          <w:tcPr>
            <w:tcW w:w="6917" w:type="dxa"/>
            <w:gridSpan w:val="2"/>
          </w:tcPr>
          <w:p w14:paraId="2D1A22CF">
            <w:pPr>
              <w:snapToGrid/>
              <w:spacing w:before="0" w:beforeAutospacing="0" w:after="0" w:afterAutospacing="0" w:line="360" w:lineRule="auto"/>
              <w:ind w:firstLine="420" w:firstLineChars="200"/>
              <w:jc w:val="both"/>
              <w:textAlignment w:val="baseline"/>
              <w:rPr>
                <w:rFonts w:hint="default"/>
                <w:vertAlign w:val="baseline"/>
                <w:lang w:val="en-US" w:eastAsia="zh-CN"/>
              </w:rPr>
            </w:pPr>
            <w:r>
              <w:rPr>
                <w:rFonts w:hint="eastAsia" w:asciiTheme="minorEastAsia" w:hAnsiTheme="minorEastAsia" w:eastAsiaTheme="minorEastAsia" w:cstheme="minorEastAsia"/>
                <w:b w:val="0"/>
                <w:i w:val="0"/>
                <w:caps w:val="0"/>
                <w:spacing w:val="0"/>
                <w:w w:val="100"/>
                <w:sz w:val="21"/>
                <w:szCs w:val="21"/>
              </w:rPr>
              <w:t>四川省妇幼保健院病理科始建于2008年，经过10多年的建设，现已经发展成为一个诊断技术较高、设施设备齐全、结构较合理的专业科室。现为四川省宫颈癌防控技术培训基地。病理科主要通过活体组织检查、脱落细胞、细针穿刺等为临床提供明确的病理诊断，确定病变性质，</w:t>
            </w:r>
            <w:r>
              <w:rPr>
                <w:rFonts w:hint="eastAsia" w:asciiTheme="minorEastAsia" w:hAnsiTheme="minorEastAsia" w:eastAsiaTheme="minorEastAsia" w:cstheme="minorEastAsia"/>
                <w:b w:val="0"/>
                <w:i w:val="0"/>
                <w:caps w:val="0"/>
                <w:spacing w:val="0"/>
                <w:w w:val="100"/>
                <w:sz w:val="21"/>
                <w:szCs w:val="21"/>
                <w:lang w:eastAsia="zh-CN"/>
              </w:rPr>
              <w:t>提供疾病诊断和治疗的</w:t>
            </w:r>
            <w:r>
              <w:rPr>
                <w:rFonts w:hint="eastAsia" w:asciiTheme="minorEastAsia" w:hAnsiTheme="minorEastAsia" w:eastAsiaTheme="minorEastAsia" w:cstheme="minorEastAsia"/>
                <w:b w:val="0"/>
                <w:i w:val="0"/>
                <w:caps w:val="0"/>
                <w:spacing w:val="0"/>
                <w:w w:val="100"/>
                <w:sz w:val="21"/>
                <w:szCs w:val="21"/>
              </w:rPr>
              <w:t>依据，病理诊断被认为是肿瘤诊断的“金标准”。</w:t>
            </w:r>
          </w:p>
        </w:tc>
      </w:tr>
      <w:tr w14:paraId="1FFAB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trPr>
        <w:tc>
          <w:tcPr>
            <w:tcW w:w="1605" w:type="dxa"/>
            <w:shd w:val="clear" w:color="auto" w:fill="auto"/>
            <w:vAlign w:val="top"/>
          </w:tcPr>
          <w:p w14:paraId="283BE2D0">
            <w:pPr>
              <w:rPr>
                <w:rFonts w:hint="default"/>
                <w:b/>
                <w:bCs/>
                <w:lang w:val="en-US" w:eastAsia="zh-CN"/>
              </w:rPr>
            </w:pPr>
            <w:r>
              <w:rPr>
                <w:rFonts w:hint="eastAsia"/>
                <w:b/>
                <w:bCs/>
                <w:lang w:val="en-US" w:eastAsia="zh-CN"/>
              </w:rPr>
              <w:t>科室诊疗特色</w:t>
            </w:r>
          </w:p>
        </w:tc>
        <w:tc>
          <w:tcPr>
            <w:tcW w:w="6917" w:type="dxa"/>
            <w:gridSpan w:val="2"/>
          </w:tcPr>
          <w:p w14:paraId="75E2BFCC">
            <w:pPr>
              <w:spacing w:line="360" w:lineRule="auto"/>
              <w:jc w:val="both"/>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cstheme="minorEastAsia"/>
                <w:b w:val="0"/>
                <w:i w:val="0"/>
                <w:caps w:val="0"/>
                <w:color w:val="auto"/>
                <w:spacing w:val="0"/>
                <w:w w:val="100"/>
                <w:sz w:val="21"/>
                <w:szCs w:val="21"/>
                <w:lang w:val="en-US" w:eastAsia="zh-CN"/>
              </w:rPr>
              <w:t xml:space="preserve"> </w:t>
            </w:r>
            <w:r>
              <w:rPr>
                <w:rFonts w:hint="eastAsia" w:asciiTheme="minorEastAsia" w:hAnsiTheme="minorEastAsia" w:eastAsiaTheme="minorEastAsia" w:cstheme="minorEastAsia"/>
                <w:b w:val="0"/>
                <w:i w:val="0"/>
                <w:caps w:val="0"/>
                <w:color w:val="auto"/>
                <w:spacing w:val="0"/>
                <w:w w:val="100"/>
                <w:sz w:val="21"/>
                <w:szCs w:val="21"/>
              </w:rPr>
              <w:t>病理科拥有一支高素质的专业队伍，截止202</w:t>
            </w:r>
            <w:r>
              <w:rPr>
                <w:rFonts w:hint="eastAsia" w:asciiTheme="minorEastAsia" w:hAnsiTheme="minorEastAsia" w:eastAsiaTheme="minorEastAsia" w:cstheme="minorEastAsia"/>
                <w:b w:val="0"/>
                <w:i w:val="0"/>
                <w:caps w:val="0"/>
                <w:color w:val="auto"/>
                <w:spacing w:val="0"/>
                <w:w w:val="100"/>
                <w:sz w:val="21"/>
                <w:szCs w:val="21"/>
                <w:lang w:val="en-US" w:eastAsia="zh-CN"/>
              </w:rPr>
              <w:t>5</w:t>
            </w:r>
            <w:r>
              <w:rPr>
                <w:rFonts w:hint="eastAsia" w:asciiTheme="minorEastAsia" w:hAnsiTheme="minorEastAsia" w:eastAsiaTheme="minorEastAsia" w:cstheme="minorEastAsia"/>
                <w:b w:val="0"/>
                <w:i w:val="0"/>
                <w:caps w:val="0"/>
                <w:color w:val="auto"/>
                <w:spacing w:val="0"/>
                <w:w w:val="100"/>
                <w:sz w:val="21"/>
                <w:szCs w:val="21"/>
              </w:rPr>
              <w:t>年</w:t>
            </w:r>
            <w:r>
              <w:rPr>
                <w:rFonts w:hint="eastAsia" w:asciiTheme="minorEastAsia" w:hAnsiTheme="minorEastAsia" w:eastAsiaTheme="minorEastAsia" w:cstheme="minorEastAsia"/>
                <w:b w:val="0"/>
                <w:i w:val="0"/>
                <w:caps w:val="0"/>
                <w:color w:val="auto"/>
                <w:spacing w:val="0"/>
                <w:w w:val="100"/>
                <w:sz w:val="21"/>
                <w:szCs w:val="21"/>
                <w:lang w:val="en-US" w:eastAsia="zh-CN"/>
              </w:rPr>
              <w:t>3</w:t>
            </w:r>
            <w:r>
              <w:rPr>
                <w:rFonts w:hint="eastAsia" w:asciiTheme="minorEastAsia" w:hAnsiTheme="minorEastAsia" w:eastAsiaTheme="minorEastAsia" w:cstheme="minorEastAsia"/>
                <w:b w:val="0"/>
                <w:i w:val="0"/>
                <w:caps w:val="0"/>
                <w:color w:val="auto"/>
                <w:spacing w:val="0"/>
                <w:w w:val="100"/>
                <w:sz w:val="21"/>
                <w:szCs w:val="21"/>
              </w:rPr>
              <w:t>月共有在职医务人员</w:t>
            </w:r>
            <w:r>
              <w:rPr>
                <w:rFonts w:hint="eastAsia" w:asciiTheme="minorEastAsia" w:hAnsiTheme="minorEastAsia" w:eastAsiaTheme="minorEastAsia" w:cstheme="minorEastAsia"/>
                <w:b w:val="0"/>
                <w:i w:val="0"/>
                <w:caps w:val="0"/>
                <w:color w:val="auto"/>
                <w:spacing w:val="0"/>
                <w:w w:val="100"/>
                <w:sz w:val="21"/>
                <w:szCs w:val="21"/>
                <w:lang w:val="en-US" w:eastAsia="zh-CN"/>
              </w:rPr>
              <w:t>15</w:t>
            </w:r>
            <w:r>
              <w:rPr>
                <w:rFonts w:hint="eastAsia" w:asciiTheme="minorEastAsia" w:hAnsiTheme="minorEastAsia" w:eastAsiaTheme="minorEastAsia" w:cstheme="minorEastAsia"/>
                <w:b w:val="0"/>
                <w:i w:val="0"/>
                <w:caps w:val="0"/>
                <w:color w:val="auto"/>
                <w:spacing w:val="0"/>
                <w:w w:val="100"/>
                <w:sz w:val="21"/>
                <w:szCs w:val="21"/>
              </w:rPr>
              <w:t>人。诊断医生</w:t>
            </w:r>
            <w:r>
              <w:rPr>
                <w:rFonts w:hint="eastAsia" w:asciiTheme="minorEastAsia" w:hAnsiTheme="minorEastAsia" w:eastAsiaTheme="minorEastAsia" w:cstheme="minorEastAsia"/>
                <w:b w:val="0"/>
                <w:i w:val="0"/>
                <w:caps w:val="0"/>
                <w:color w:val="auto"/>
                <w:spacing w:val="0"/>
                <w:w w:val="100"/>
                <w:sz w:val="21"/>
                <w:szCs w:val="21"/>
                <w:lang w:val="en-US" w:eastAsia="zh-CN"/>
              </w:rPr>
              <w:t>8</w:t>
            </w:r>
            <w:r>
              <w:rPr>
                <w:rFonts w:hint="eastAsia" w:asciiTheme="minorEastAsia" w:hAnsiTheme="minorEastAsia" w:eastAsiaTheme="minorEastAsia" w:cstheme="minorEastAsia"/>
                <w:b w:val="0"/>
                <w:i w:val="0"/>
                <w:caps w:val="0"/>
                <w:color w:val="auto"/>
                <w:spacing w:val="0"/>
                <w:w w:val="100"/>
                <w:sz w:val="21"/>
                <w:szCs w:val="21"/>
              </w:rPr>
              <w:t>名，其中主任医师</w:t>
            </w:r>
            <w:r>
              <w:rPr>
                <w:rFonts w:hint="eastAsia" w:asciiTheme="minorEastAsia" w:hAnsiTheme="minorEastAsia" w:eastAsiaTheme="minorEastAsia" w:cstheme="minorEastAsia"/>
                <w:b w:val="0"/>
                <w:i w:val="0"/>
                <w:caps w:val="0"/>
                <w:color w:val="auto"/>
                <w:spacing w:val="0"/>
                <w:w w:val="100"/>
                <w:sz w:val="21"/>
                <w:szCs w:val="21"/>
                <w:lang w:val="en-US" w:eastAsia="zh-CN"/>
              </w:rPr>
              <w:t>2</w:t>
            </w:r>
            <w:r>
              <w:rPr>
                <w:rFonts w:hint="eastAsia" w:asciiTheme="minorEastAsia" w:hAnsiTheme="minorEastAsia" w:eastAsiaTheme="minorEastAsia" w:cstheme="minorEastAsia"/>
                <w:b w:val="0"/>
                <w:i w:val="0"/>
                <w:caps w:val="0"/>
                <w:color w:val="auto"/>
                <w:spacing w:val="0"/>
                <w:w w:val="100"/>
                <w:sz w:val="21"/>
                <w:szCs w:val="21"/>
              </w:rPr>
              <w:t>名，副主任医师</w:t>
            </w:r>
            <w:r>
              <w:rPr>
                <w:rFonts w:hint="eastAsia" w:asciiTheme="minorEastAsia" w:hAnsiTheme="minorEastAsia" w:eastAsiaTheme="minorEastAsia" w:cstheme="minorEastAsia"/>
                <w:b w:val="0"/>
                <w:i w:val="0"/>
                <w:caps w:val="0"/>
                <w:color w:val="auto"/>
                <w:spacing w:val="0"/>
                <w:w w:val="100"/>
                <w:sz w:val="21"/>
                <w:szCs w:val="21"/>
                <w:lang w:val="en-US" w:eastAsia="zh-CN"/>
              </w:rPr>
              <w:t>1</w:t>
            </w:r>
            <w:r>
              <w:rPr>
                <w:rFonts w:hint="eastAsia" w:asciiTheme="minorEastAsia" w:hAnsiTheme="minorEastAsia" w:eastAsiaTheme="minorEastAsia" w:cstheme="minorEastAsia"/>
                <w:b w:val="0"/>
                <w:i w:val="0"/>
                <w:caps w:val="0"/>
                <w:color w:val="auto"/>
                <w:spacing w:val="0"/>
                <w:w w:val="100"/>
                <w:sz w:val="21"/>
                <w:szCs w:val="21"/>
              </w:rPr>
              <w:t>名，主治医师</w:t>
            </w:r>
            <w:r>
              <w:rPr>
                <w:rFonts w:hint="eastAsia" w:asciiTheme="minorEastAsia" w:hAnsiTheme="minorEastAsia" w:eastAsiaTheme="minorEastAsia" w:cstheme="minorEastAsia"/>
                <w:b w:val="0"/>
                <w:i w:val="0"/>
                <w:caps w:val="0"/>
                <w:color w:val="auto"/>
                <w:spacing w:val="0"/>
                <w:w w:val="100"/>
                <w:sz w:val="21"/>
                <w:szCs w:val="21"/>
                <w:lang w:val="en-US" w:eastAsia="zh-CN"/>
              </w:rPr>
              <w:t>5</w:t>
            </w:r>
            <w:r>
              <w:rPr>
                <w:rFonts w:hint="eastAsia" w:asciiTheme="minorEastAsia" w:hAnsiTheme="minorEastAsia" w:eastAsiaTheme="minorEastAsia" w:cstheme="minorEastAsia"/>
                <w:b w:val="0"/>
                <w:i w:val="0"/>
                <w:caps w:val="0"/>
                <w:color w:val="auto"/>
                <w:spacing w:val="0"/>
                <w:w w:val="100"/>
                <w:sz w:val="21"/>
                <w:szCs w:val="21"/>
              </w:rPr>
              <w:t>名，另有</w:t>
            </w:r>
            <w:r>
              <w:rPr>
                <w:rFonts w:hint="eastAsia" w:asciiTheme="minorEastAsia" w:hAnsiTheme="minorEastAsia" w:eastAsiaTheme="minorEastAsia" w:cstheme="minorEastAsia"/>
                <w:b w:val="0"/>
                <w:i w:val="0"/>
                <w:caps w:val="0"/>
                <w:color w:val="auto"/>
                <w:spacing w:val="0"/>
                <w:w w:val="100"/>
                <w:sz w:val="21"/>
                <w:szCs w:val="21"/>
                <w:lang w:val="en-US" w:eastAsia="zh-CN"/>
              </w:rPr>
              <w:t>病理</w:t>
            </w:r>
            <w:r>
              <w:rPr>
                <w:rFonts w:hint="eastAsia" w:asciiTheme="minorEastAsia" w:hAnsiTheme="minorEastAsia" w:eastAsiaTheme="minorEastAsia" w:cstheme="minorEastAsia"/>
                <w:b w:val="0"/>
                <w:i w:val="0"/>
                <w:caps w:val="0"/>
                <w:color w:val="auto"/>
                <w:spacing w:val="0"/>
                <w:w w:val="100"/>
                <w:sz w:val="21"/>
                <w:szCs w:val="21"/>
              </w:rPr>
              <w:t>技术</w:t>
            </w:r>
            <w:r>
              <w:rPr>
                <w:rFonts w:hint="eastAsia" w:asciiTheme="minorEastAsia" w:hAnsiTheme="minorEastAsia" w:eastAsiaTheme="minorEastAsia" w:cstheme="minorEastAsia"/>
                <w:b w:val="0"/>
                <w:i w:val="0"/>
                <w:caps w:val="0"/>
                <w:color w:val="auto"/>
                <w:spacing w:val="0"/>
                <w:w w:val="100"/>
                <w:sz w:val="21"/>
                <w:szCs w:val="21"/>
                <w:lang w:val="en-US" w:eastAsia="zh-CN"/>
              </w:rPr>
              <w:t>人</w:t>
            </w:r>
            <w:r>
              <w:rPr>
                <w:rFonts w:hint="eastAsia" w:asciiTheme="minorEastAsia" w:hAnsiTheme="minorEastAsia" w:eastAsiaTheme="minorEastAsia" w:cstheme="minorEastAsia"/>
                <w:b w:val="0"/>
                <w:i w:val="0"/>
                <w:caps w:val="0"/>
                <w:color w:val="auto"/>
                <w:spacing w:val="0"/>
                <w:w w:val="100"/>
                <w:sz w:val="21"/>
                <w:szCs w:val="21"/>
              </w:rPr>
              <w:t>员</w:t>
            </w:r>
            <w:r>
              <w:rPr>
                <w:rFonts w:hint="eastAsia" w:asciiTheme="minorEastAsia" w:hAnsiTheme="minorEastAsia" w:eastAsiaTheme="minorEastAsia" w:cstheme="minorEastAsia"/>
                <w:b w:val="0"/>
                <w:i w:val="0"/>
                <w:caps w:val="0"/>
                <w:color w:val="auto"/>
                <w:spacing w:val="0"/>
                <w:w w:val="100"/>
                <w:sz w:val="21"/>
                <w:szCs w:val="21"/>
                <w:lang w:val="en-US" w:eastAsia="zh-CN"/>
              </w:rPr>
              <w:t>6</w:t>
            </w:r>
            <w:r>
              <w:rPr>
                <w:rFonts w:hint="eastAsia" w:asciiTheme="minorEastAsia" w:hAnsiTheme="minorEastAsia" w:eastAsiaTheme="minorEastAsia" w:cstheme="minorEastAsia"/>
                <w:b w:val="0"/>
                <w:i w:val="0"/>
                <w:caps w:val="0"/>
                <w:color w:val="auto"/>
                <w:spacing w:val="0"/>
                <w:w w:val="100"/>
                <w:sz w:val="21"/>
                <w:szCs w:val="21"/>
              </w:rPr>
              <w:t>名。</w:t>
            </w:r>
            <w:r>
              <w:rPr>
                <w:rFonts w:hint="eastAsia" w:asciiTheme="minorEastAsia" w:hAnsiTheme="minorEastAsia" w:eastAsiaTheme="minorEastAsia" w:cstheme="minorEastAsia"/>
                <w:b w:val="0"/>
                <w:i w:val="0"/>
                <w:caps w:val="0"/>
                <w:color w:val="auto"/>
                <w:spacing w:val="0"/>
                <w:w w:val="100"/>
                <w:sz w:val="21"/>
                <w:szCs w:val="21"/>
                <w:lang w:val="en-US" w:eastAsia="zh-CN"/>
              </w:rPr>
              <w:t>其中硕士研究生共7名。</w:t>
            </w:r>
          </w:p>
          <w:p w14:paraId="5B37FD29">
            <w:pPr>
              <w:spacing w:line="360" w:lineRule="auto"/>
              <w:ind w:firstLine="420" w:firstLineChars="200"/>
              <w:jc w:val="both"/>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科室人员学术任职情况：</w:t>
            </w:r>
            <w:r>
              <w:rPr>
                <w:rFonts w:hint="eastAsia" w:asciiTheme="minorEastAsia" w:hAnsiTheme="minorEastAsia" w:eastAsiaTheme="minorEastAsia" w:cstheme="minorEastAsia"/>
                <w:b w:val="0"/>
                <w:bCs w:val="0"/>
                <w:color w:val="auto"/>
                <w:sz w:val="21"/>
                <w:szCs w:val="21"/>
                <w:lang w:val="en-US" w:eastAsia="zh-CN" w:bidi="zh-CN"/>
              </w:rPr>
              <w:t>目前科室有四川省妇幼保健协会宫颈病变防治分会常委1名、</w:t>
            </w:r>
            <w:r>
              <w:rPr>
                <w:rFonts w:hint="eastAsia" w:asciiTheme="minorEastAsia" w:hAnsiTheme="minorEastAsia" w:eastAsiaTheme="minorEastAsia" w:cstheme="minorEastAsia"/>
                <w:color w:val="auto"/>
                <w:sz w:val="21"/>
                <w:szCs w:val="21"/>
                <w:lang w:val="en-US" w:eastAsia="zh-CN"/>
              </w:rPr>
              <w:t>四川省卫生与医疗促进会病理专委会常委1名，四川省女医师协会病理专委会常委1名，中国妇幼保健协会病理专委会委员1名，</w:t>
            </w:r>
            <w:r>
              <w:rPr>
                <w:rFonts w:hint="eastAsia" w:asciiTheme="minorEastAsia" w:hAnsiTheme="minorEastAsia" w:eastAsiaTheme="minorEastAsia" w:cstheme="minorEastAsia"/>
                <w:color w:val="auto"/>
                <w:sz w:val="21"/>
                <w:szCs w:val="21"/>
                <w:lang w:eastAsia="zh-CN"/>
              </w:rPr>
              <w:t>四川省</w:t>
            </w:r>
            <w:r>
              <w:rPr>
                <w:rFonts w:hint="eastAsia" w:asciiTheme="minorEastAsia" w:hAnsiTheme="minorEastAsia" w:eastAsiaTheme="minorEastAsia" w:cstheme="minorEastAsia"/>
                <w:color w:val="auto"/>
                <w:sz w:val="21"/>
                <w:szCs w:val="21"/>
                <w:lang w:val="en-US" w:eastAsia="zh-CN"/>
              </w:rPr>
              <w:t>医学会</w:t>
            </w:r>
            <w:r>
              <w:rPr>
                <w:rFonts w:hint="eastAsia" w:asciiTheme="minorEastAsia" w:hAnsiTheme="minorEastAsia" w:eastAsiaTheme="minorEastAsia" w:cstheme="minorEastAsia"/>
                <w:color w:val="auto"/>
                <w:sz w:val="21"/>
                <w:szCs w:val="21"/>
                <w:lang w:eastAsia="zh-CN"/>
              </w:rPr>
              <w:t>病理专委会委员</w:t>
            </w:r>
            <w:r>
              <w:rPr>
                <w:rFonts w:hint="eastAsia" w:asciiTheme="minorEastAsia" w:hAnsiTheme="minorEastAsia" w:eastAsiaTheme="minorEastAsia" w:cstheme="minorEastAsia"/>
                <w:color w:val="auto"/>
                <w:sz w:val="21"/>
                <w:szCs w:val="21"/>
                <w:lang w:val="en-US" w:eastAsia="zh-CN"/>
              </w:rPr>
              <w:t>1名</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lang w:val="en-US" w:eastAsia="zh-CN"/>
              </w:rPr>
              <w:t>成都市医学会</w:t>
            </w:r>
            <w:r>
              <w:rPr>
                <w:rFonts w:hint="eastAsia" w:asciiTheme="minorEastAsia" w:hAnsiTheme="minorEastAsia" w:eastAsiaTheme="minorEastAsia" w:cstheme="minorEastAsia"/>
                <w:color w:val="auto"/>
                <w:sz w:val="21"/>
                <w:szCs w:val="21"/>
                <w:lang w:eastAsia="zh-CN"/>
              </w:rPr>
              <w:t>病理专委会委员</w:t>
            </w:r>
            <w:r>
              <w:rPr>
                <w:rFonts w:hint="eastAsia" w:asciiTheme="minorEastAsia" w:hAnsiTheme="minorEastAsia" w:eastAsiaTheme="minorEastAsia" w:cstheme="minorEastAsia"/>
                <w:color w:val="auto"/>
                <w:sz w:val="21"/>
                <w:szCs w:val="21"/>
                <w:lang w:val="en-US" w:eastAsia="zh-CN"/>
              </w:rPr>
              <w:t>1名</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lang w:val="en-US" w:eastAsia="zh-CN"/>
              </w:rPr>
              <w:t>四川省预防医学会乳腺保健专委会委员1名，成都高新医学会临床病理分会委员4名，西部精准医学与分子病理学专业委员会委员2名，成都市抗癌协会肿瘤病理技术专委会委员1名，四川天府新区医学会委员7名，</w:t>
            </w:r>
            <w:r>
              <w:rPr>
                <w:rFonts w:hint="eastAsia" w:asciiTheme="minorEastAsia" w:hAnsiTheme="minorEastAsia" w:eastAsiaTheme="minorEastAsia" w:cstheme="minorEastAsia"/>
                <w:color w:val="000000" w:themeColor="text1"/>
                <w:sz w:val="21"/>
                <w:szCs w:val="21"/>
                <w14:textFill>
                  <w14:solidFill>
                    <w14:schemeClr w14:val="tx1"/>
                  </w14:solidFill>
                </w14:textFill>
              </w:rPr>
              <w:t>中华医学会会员</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中华医学会四川省分会高级会员</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1名，</w:t>
            </w:r>
            <w:r>
              <w:rPr>
                <w:rFonts w:hint="eastAsia" w:asciiTheme="minorEastAsia" w:hAnsiTheme="minorEastAsia" w:eastAsiaTheme="minorEastAsia" w:cstheme="minorEastAsia"/>
                <w:color w:val="auto"/>
                <w:sz w:val="21"/>
                <w:szCs w:val="21"/>
                <w:lang w:val="en-US" w:eastAsia="zh-CN"/>
              </w:rPr>
              <w:t>四川省“两癌”筛查专家2名，具有</w:t>
            </w:r>
            <w:r>
              <w:rPr>
                <w:rFonts w:hint="eastAsia" w:asciiTheme="minorEastAsia" w:hAnsiTheme="minorEastAsia" w:eastAsiaTheme="minorEastAsia" w:cstheme="minorEastAsia"/>
                <w:color w:val="auto"/>
                <w:sz w:val="21"/>
                <w:szCs w:val="21"/>
              </w:rPr>
              <w:t>四川省“两癌”筛查技术培训省级师资</w:t>
            </w:r>
            <w:r>
              <w:rPr>
                <w:rFonts w:hint="eastAsia" w:asciiTheme="minorEastAsia" w:hAnsiTheme="minorEastAsia" w:eastAsiaTheme="minorEastAsia" w:cstheme="minorEastAsia"/>
                <w:color w:val="auto"/>
                <w:sz w:val="21"/>
                <w:szCs w:val="21"/>
                <w:lang w:val="en-US" w:eastAsia="zh-CN"/>
              </w:rPr>
              <w:t>3名。</w:t>
            </w:r>
          </w:p>
          <w:p w14:paraId="61E0D798">
            <w:pPr>
              <w:spacing w:line="360" w:lineRule="auto"/>
              <w:ind w:firstLine="420" w:firstLineChars="200"/>
              <w:jc w:val="both"/>
              <w:rPr>
                <w:rFonts w:hint="default" w:asciiTheme="minorEastAsia" w:hAnsiTheme="minorEastAsia" w:eastAsiaTheme="minorEastAsia" w:cstheme="minorEastAsia"/>
                <w:color w:val="auto"/>
                <w:sz w:val="21"/>
                <w:szCs w:val="21"/>
                <w:lang w:val="en-US" w:eastAsia="zh-CN"/>
              </w:rPr>
            </w:pPr>
          </w:p>
        </w:tc>
      </w:tr>
      <w:tr w14:paraId="1B56B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2" w:hRule="atLeast"/>
        </w:trPr>
        <w:tc>
          <w:tcPr>
            <w:tcW w:w="1605" w:type="dxa"/>
            <w:shd w:val="clear" w:color="auto" w:fill="auto"/>
            <w:vAlign w:val="top"/>
          </w:tcPr>
          <w:p w14:paraId="4622E962">
            <w:pPr>
              <w:rPr>
                <w:rFonts w:hint="eastAsia" w:asciiTheme="minorHAnsi" w:hAnsiTheme="minorHAnsi" w:eastAsiaTheme="minorEastAsia" w:cstheme="minorBidi"/>
                <w:b/>
                <w:bCs/>
                <w:kern w:val="2"/>
                <w:sz w:val="21"/>
                <w:szCs w:val="24"/>
                <w:lang w:val="en-US" w:eastAsia="zh-CN" w:bidi="ar-SA"/>
              </w:rPr>
            </w:pPr>
            <w:r>
              <w:rPr>
                <w:rFonts w:hint="eastAsia"/>
                <w:b/>
                <w:bCs/>
                <w:lang w:val="en-US" w:eastAsia="zh-CN"/>
              </w:rPr>
              <w:t>科室教学、科研特色</w:t>
            </w:r>
          </w:p>
        </w:tc>
        <w:tc>
          <w:tcPr>
            <w:tcW w:w="6917" w:type="dxa"/>
            <w:gridSpan w:val="2"/>
          </w:tcPr>
          <w:p w14:paraId="71E1B993">
            <w:pPr>
              <w:snapToGrid/>
              <w:spacing w:before="0" w:beforeAutospacing="0" w:after="0" w:afterAutospacing="0" w:line="36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bCs w:val="0"/>
                <w:color w:val="auto"/>
                <w:sz w:val="21"/>
                <w:szCs w:val="21"/>
                <w:lang w:val="en-US" w:eastAsia="zh-CN"/>
              </w:rPr>
              <w:t xml:space="preserve"> 科研方面，</w:t>
            </w:r>
            <w:r>
              <w:rPr>
                <w:rFonts w:hint="eastAsia" w:ascii="宋体" w:hAnsi="宋体" w:eastAsia="宋体" w:cs="宋体"/>
                <w:b w:val="0"/>
                <w:i w:val="0"/>
                <w:caps w:val="0"/>
                <w:spacing w:val="-8"/>
                <w:w w:val="100"/>
                <w:sz w:val="21"/>
                <w:szCs w:val="21"/>
              </w:rPr>
              <w:t>科室</w:t>
            </w:r>
            <w:r>
              <w:rPr>
                <w:rFonts w:hint="eastAsia" w:ascii="宋体" w:hAnsi="宋体" w:eastAsia="宋体" w:cs="宋体"/>
                <w:b w:val="0"/>
                <w:bCs/>
                <w:i w:val="0"/>
                <w:caps w:val="0"/>
                <w:spacing w:val="0"/>
                <w:w w:val="100"/>
                <w:sz w:val="21"/>
                <w:szCs w:val="21"/>
              </w:rPr>
              <w:t>人员先后发表SCI文章</w:t>
            </w:r>
            <w:r>
              <w:rPr>
                <w:rFonts w:hint="eastAsia" w:ascii="宋体" w:hAnsi="宋体" w:eastAsia="宋体" w:cs="宋体"/>
                <w:b w:val="0"/>
                <w:bCs/>
                <w:i w:val="0"/>
                <w:caps w:val="0"/>
                <w:spacing w:val="0"/>
                <w:w w:val="100"/>
                <w:sz w:val="21"/>
                <w:szCs w:val="21"/>
                <w:lang w:val="en-US" w:eastAsia="zh-CN"/>
              </w:rPr>
              <w:t>5</w:t>
            </w:r>
            <w:r>
              <w:rPr>
                <w:rFonts w:hint="eastAsia" w:ascii="宋体" w:hAnsi="宋体" w:eastAsia="宋体" w:cs="宋体"/>
                <w:b w:val="0"/>
                <w:bCs/>
                <w:i w:val="0"/>
                <w:caps w:val="0"/>
                <w:spacing w:val="0"/>
                <w:w w:val="100"/>
                <w:sz w:val="21"/>
                <w:szCs w:val="21"/>
              </w:rPr>
              <w:t>篇，北大核心及统计源核心期刊文章20</w:t>
            </w:r>
            <w:r>
              <w:rPr>
                <w:rFonts w:hint="eastAsia" w:ascii="宋体" w:hAnsi="宋体" w:eastAsia="宋体" w:cs="宋体"/>
                <w:b w:val="0"/>
                <w:bCs/>
                <w:i w:val="0"/>
                <w:caps w:val="0"/>
                <w:spacing w:val="0"/>
                <w:w w:val="100"/>
                <w:sz w:val="21"/>
                <w:szCs w:val="21"/>
                <w:lang w:val="en-US" w:eastAsia="zh-CN"/>
              </w:rPr>
              <w:t>余</w:t>
            </w:r>
            <w:r>
              <w:rPr>
                <w:rFonts w:hint="eastAsia" w:ascii="宋体" w:hAnsi="宋体" w:eastAsia="宋体" w:cs="宋体"/>
                <w:b w:val="0"/>
                <w:bCs/>
                <w:i w:val="0"/>
                <w:caps w:val="0"/>
                <w:spacing w:val="0"/>
                <w:w w:val="100"/>
                <w:sz w:val="21"/>
                <w:szCs w:val="21"/>
              </w:rPr>
              <w:t>篇，主持成都医学院大创项目1项</w:t>
            </w:r>
            <w:r>
              <w:rPr>
                <w:rFonts w:hint="eastAsia" w:ascii="宋体" w:hAnsi="宋体" w:eastAsia="宋体" w:cs="宋体"/>
                <w:b w:val="0"/>
                <w:bCs/>
                <w:i w:val="0"/>
                <w:caps w:val="0"/>
                <w:spacing w:val="0"/>
                <w:w w:val="100"/>
                <w:sz w:val="21"/>
                <w:szCs w:val="21"/>
                <w:lang w:val="en-US" w:eastAsia="zh-CN"/>
              </w:rPr>
              <w:t>，</w:t>
            </w:r>
            <w:r>
              <w:rPr>
                <w:rFonts w:hint="eastAsia" w:ascii="宋体" w:hAnsi="宋体" w:eastAsia="宋体" w:cs="宋体"/>
                <w:b w:val="0"/>
                <w:bCs/>
                <w:i w:val="0"/>
                <w:caps w:val="0"/>
                <w:spacing w:val="0"/>
                <w:w w:val="100"/>
                <w:sz w:val="21"/>
                <w:szCs w:val="21"/>
                <w:lang w:eastAsia="zh-CN"/>
              </w:rPr>
              <w:t>院内科研课题</w:t>
            </w:r>
            <w:r>
              <w:rPr>
                <w:rFonts w:hint="eastAsia" w:ascii="宋体" w:hAnsi="宋体" w:eastAsia="宋体" w:cs="宋体"/>
                <w:b w:val="0"/>
                <w:bCs/>
                <w:i w:val="0"/>
                <w:caps w:val="0"/>
                <w:spacing w:val="0"/>
                <w:w w:val="100"/>
                <w:sz w:val="21"/>
                <w:szCs w:val="21"/>
                <w:lang w:val="en-US" w:eastAsia="zh-CN"/>
              </w:rPr>
              <w:t>2项，</w:t>
            </w:r>
            <w:r>
              <w:rPr>
                <w:rFonts w:hint="eastAsia" w:ascii="宋体" w:hAnsi="宋体" w:eastAsia="宋体" w:cs="宋体"/>
                <w:b w:val="0"/>
                <w:bCs/>
                <w:i w:val="0"/>
                <w:caps w:val="0"/>
                <w:spacing w:val="0"/>
                <w:w w:val="100"/>
                <w:sz w:val="21"/>
                <w:szCs w:val="21"/>
              </w:rPr>
              <w:t>参研省厅及市级课题</w:t>
            </w:r>
            <w:r>
              <w:rPr>
                <w:rFonts w:hint="eastAsia" w:ascii="宋体" w:hAnsi="宋体" w:eastAsia="宋体" w:cs="宋体"/>
                <w:b w:val="0"/>
                <w:bCs/>
                <w:i w:val="0"/>
                <w:caps w:val="0"/>
                <w:spacing w:val="0"/>
                <w:w w:val="100"/>
                <w:sz w:val="21"/>
                <w:szCs w:val="21"/>
                <w:lang w:val="en-US" w:eastAsia="zh-CN"/>
              </w:rPr>
              <w:t>14</w:t>
            </w:r>
            <w:r>
              <w:rPr>
                <w:rFonts w:hint="eastAsia" w:ascii="宋体" w:hAnsi="宋体" w:eastAsia="宋体" w:cs="宋体"/>
                <w:b w:val="0"/>
                <w:bCs/>
                <w:i w:val="0"/>
                <w:caps w:val="0"/>
                <w:spacing w:val="0"/>
                <w:w w:val="100"/>
                <w:sz w:val="21"/>
                <w:szCs w:val="21"/>
              </w:rPr>
              <w:t>项</w:t>
            </w:r>
            <w:r>
              <w:rPr>
                <w:rFonts w:hint="eastAsia" w:ascii="宋体" w:hAnsi="宋体" w:eastAsia="宋体" w:cs="宋体"/>
                <w:b w:val="0"/>
                <w:bCs/>
                <w:i w:val="0"/>
                <w:caps w:val="0"/>
                <w:spacing w:val="0"/>
                <w:w w:val="100"/>
                <w:sz w:val="21"/>
                <w:szCs w:val="21"/>
                <w:lang w:eastAsia="zh-CN"/>
              </w:rPr>
              <w:t>、</w:t>
            </w:r>
            <w:r>
              <w:rPr>
                <w:rFonts w:hint="eastAsia" w:ascii="宋体" w:hAnsi="宋体" w:eastAsia="宋体" w:cs="宋体"/>
                <w:b w:val="0"/>
                <w:bCs/>
                <w:i w:val="0"/>
                <w:caps w:val="0"/>
                <w:spacing w:val="0"/>
                <w:w w:val="100"/>
                <w:sz w:val="21"/>
                <w:szCs w:val="21"/>
                <w:lang w:val="en-US" w:eastAsia="zh-CN"/>
              </w:rPr>
              <w:t>GCP项目多项，</w:t>
            </w:r>
            <w:r>
              <w:rPr>
                <w:rFonts w:hint="eastAsia" w:ascii="宋体" w:hAnsi="宋体" w:eastAsia="宋体" w:cs="宋体"/>
                <w:b w:val="0"/>
                <w:bCs/>
                <w:i w:val="0"/>
                <w:caps w:val="0"/>
                <w:spacing w:val="0"/>
                <w:w w:val="100"/>
                <w:sz w:val="21"/>
                <w:szCs w:val="21"/>
              </w:rPr>
              <w:t>拥有实用新型专利</w:t>
            </w:r>
            <w:r>
              <w:rPr>
                <w:rFonts w:hint="eastAsia" w:ascii="宋体" w:hAnsi="宋体" w:eastAsia="宋体" w:cs="宋体"/>
                <w:b w:val="0"/>
                <w:bCs/>
                <w:i w:val="0"/>
                <w:caps w:val="0"/>
                <w:spacing w:val="0"/>
                <w:w w:val="100"/>
                <w:sz w:val="21"/>
                <w:szCs w:val="21"/>
                <w:lang w:val="en-US" w:eastAsia="zh-CN"/>
              </w:rPr>
              <w:t>4</w:t>
            </w:r>
            <w:r>
              <w:rPr>
                <w:rFonts w:hint="eastAsia" w:ascii="宋体" w:hAnsi="宋体" w:eastAsia="宋体" w:cs="宋体"/>
                <w:b w:val="0"/>
                <w:bCs/>
                <w:i w:val="0"/>
                <w:caps w:val="0"/>
                <w:spacing w:val="0"/>
                <w:w w:val="100"/>
                <w:sz w:val="21"/>
                <w:szCs w:val="21"/>
              </w:rPr>
              <w:t>项。</w:t>
            </w:r>
          </w:p>
          <w:p w14:paraId="012DA18D">
            <w:pPr>
              <w:snapToGrid/>
              <w:spacing w:before="0" w:beforeAutospacing="0" w:after="0" w:afterAutospacing="0" w:line="360" w:lineRule="auto"/>
              <w:jc w:val="both"/>
              <w:textAlignment w:val="baseline"/>
              <w:rPr>
                <w:rFonts w:hint="default"/>
                <w:vertAlign w:val="baseline"/>
                <w:lang w:val="en-US" w:eastAsia="zh-CN"/>
              </w:rPr>
            </w:pPr>
            <w:r>
              <w:rPr>
                <w:rFonts w:hint="eastAsia" w:ascii="宋体" w:hAnsi="宋体" w:eastAsia="宋体" w:cs="宋体"/>
                <w:b w:val="0"/>
                <w:bCs w:val="0"/>
                <w:color w:val="auto"/>
                <w:sz w:val="21"/>
                <w:szCs w:val="21"/>
                <w:lang w:val="en-US" w:eastAsia="zh-CN"/>
              </w:rPr>
              <w:t xml:space="preserve"> 教学方面</w:t>
            </w:r>
            <w:r>
              <w:rPr>
                <w:rFonts w:hint="eastAsia" w:ascii="宋体" w:hAnsi="宋体" w:eastAsia="宋体" w:cs="宋体"/>
                <w:b w:val="0"/>
                <w:i w:val="0"/>
                <w:caps w:val="0"/>
                <w:spacing w:val="0"/>
                <w:w w:val="100"/>
                <w:sz w:val="21"/>
                <w:szCs w:val="21"/>
              </w:rPr>
              <w:t>，病理科每年承担全省基层医务人员的宫颈癌筛查培训及基层质控检查，并先后培养了近10名进修</w:t>
            </w:r>
            <w:r>
              <w:rPr>
                <w:rFonts w:hint="eastAsia" w:ascii="仿宋" w:hAnsi="仿宋" w:eastAsia="仿宋" w:cs="仿宋"/>
                <w:b w:val="0"/>
                <w:i w:val="0"/>
                <w:caps w:val="0"/>
                <w:spacing w:val="0"/>
                <w:w w:val="100"/>
                <w:sz w:val="21"/>
                <w:szCs w:val="21"/>
              </w:rPr>
              <w:t>生。</w:t>
            </w:r>
          </w:p>
        </w:tc>
      </w:tr>
      <w:tr w14:paraId="0A826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605" w:type="dxa"/>
            <w:vAlign w:val="center"/>
          </w:tcPr>
          <w:p w14:paraId="64D41213">
            <w:pPr>
              <w:rPr>
                <w:rFonts w:hint="default"/>
                <w:vertAlign w:val="baseline"/>
                <w:lang w:val="en-US" w:eastAsia="zh-CN"/>
              </w:rPr>
            </w:pPr>
            <w:r>
              <w:rPr>
                <w:rFonts w:hint="default"/>
                <w:b/>
                <w:bCs/>
                <w:lang w:val="en-US" w:eastAsia="zh-CN"/>
              </w:rPr>
              <w:t>教学课程设置</w:t>
            </w:r>
          </w:p>
        </w:tc>
        <w:tc>
          <w:tcPr>
            <w:tcW w:w="3933" w:type="dxa"/>
            <w:vAlign w:val="center"/>
          </w:tcPr>
          <w:p w14:paraId="6790C07E">
            <w:pPr>
              <w:jc w:val="center"/>
              <w:rPr>
                <w:rFonts w:hint="default"/>
                <w:b/>
                <w:bCs/>
                <w:lang w:val="en-US" w:eastAsia="zh-CN"/>
              </w:rPr>
            </w:pPr>
            <w:r>
              <w:rPr>
                <w:rFonts w:hint="eastAsia"/>
                <w:b/>
                <w:bCs/>
                <w:lang w:val="en-US" w:eastAsia="zh-CN"/>
              </w:rPr>
              <w:t>课程内容</w:t>
            </w:r>
          </w:p>
        </w:tc>
        <w:tc>
          <w:tcPr>
            <w:tcW w:w="2984" w:type="dxa"/>
            <w:shd w:val="clear" w:color="auto" w:fill="auto"/>
            <w:vAlign w:val="center"/>
          </w:tcPr>
          <w:p w14:paraId="186C7225">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b/>
                <w:bCs/>
                <w:kern w:val="2"/>
                <w:sz w:val="21"/>
                <w:szCs w:val="24"/>
                <w:vertAlign w:val="baseline"/>
                <w:lang w:val="en-US" w:eastAsia="zh-CN" w:bidi="ar-SA"/>
              </w:rPr>
              <w:t>教学要点</w:t>
            </w:r>
          </w:p>
        </w:tc>
      </w:tr>
      <w:tr w14:paraId="0FA36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trPr>
        <w:tc>
          <w:tcPr>
            <w:tcW w:w="1605" w:type="dxa"/>
            <w:vAlign w:val="center"/>
          </w:tcPr>
          <w:p w14:paraId="0FCF5FE7">
            <w:pPr>
              <w:jc w:val="center"/>
              <w:rPr>
                <w:rFonts w:hint="default"/>
                <w:b/>
                <w:bCs/>
                <w:lang w:val="en-US" w:eastAsia="zh-CN"/>
              </w:rPr>
            </w:pPr>
            <w:r>
              <w:rPr>
                <w:rFonts w:hint="eastAsia"/>
                <w:b w:val="0"/>
                <w:bCs w:val="0"/>
                <w:color w:val="808080" w:themeColor="background1" w:themeShade="80"/>
                <w:lang w:val="en-US" w:eastAsia="zh-CN"/>
              </w:rPr>
              <w:t>理论课程/操作课程/临床实习</w:t>
            </w:r>
          </w:p>
        </w:tc>
        <w:tc>
          <w:tcPr>
            <w:tcW w:w="3933" w:type="dxa"/>
            <w:vAlign w:val="center"/>
          </w:tcPr>
          <w:p w14:paraId="1D11BE60">
            <w:pPr>
              <w:spacing w:line="360" w:lineRule="auto"/>
              <w:jc w:val="center"/>
              <w:rPr>
                <w:rFonts w:hint="eastAsia"/>
                <w:lang w:val="en-US" w:eastAsia="zh-CN"/>
              </w:rPr>
            </w:pPr>
            <w:r>
              <w:rPr>
                <w:rFonts w:hint="eastAsia"/>
                <w:lang w:val="en-US" w:eastAsia="zh-CN"/>
              </w:rPr>
              <w:t>进修医师： 理论授课1次/每月；切片带教2次/每周；技能带教2次/每周。</w:t>
            </w:r>
          </w:p>
          <w:p w14:paraId="49A74DCD">
            <w:pPr>
              <w:spacing w:line="360" w:lineRule="auto"/>
              <w:jc w:val="center"/>
              <w:rPr>
                <w:rFonts w:hint="default"/>
                <w:lang w:val="en-US" w:eastAsia="zh-CN"/>
              </w:rPr>
            </w:pPr>
            <w:r>
              <w:rPr>
                <w:rFonts w:hint="eastAsia"/>
                <w:vertAlign w:val="baseline"/>
                <w:lang w:val="en-US" w:eastAsia="zh-CN"/>
              </w:rPr>
              <w:t>进修技师：</w:t>
            </w:r>
            <w:r>
              <w:rPr>
                <w:rFonts w:hint="eastAsia"/>
                <w:lang w:val="en-US" w:eastAsia="zh-CN"/>
              </w:rPr>
              <w:t>理论授课1次/每月；技能带教2次/每周。</w:t>
            </w:r>
          </w:p>
        </w:tc>
        <w:tc>
          <w:tcPr>
            <w:tcW w:w="2984" w:type="dxa"/>
            <w:shd w:val="clear" w:color="auto" w:fill="auto"/>
            <w:vAlign w:val="center"/>
          </w:tcPr>
          <w:p w14:paraId="3673FFB4">
            <w:pPr>
              <w:pStyle w:val="2"/>
              <w:spacing w:line="360" w:lineRule="auto"/>
              <w:rPr>
                <w:rFonts w:hint="default"/>
                <w:lang w:val="en-US" w:eastAsia="zh-CN"/>
              </w:rPr>
            </w:pPr>
            <w:r>
              <w:rPr>
                <w:rFonts w:hint="eastAsia"/>
                <w:lang w:val="en-US" w:eastAsia="zh-CN"/>
              </w:rPr>
              <w:t>根据学员进修目的规划合适的教学课程，包括理论知识教学和实践技能培训，并参与本科室病理学日常工作以及最后的进修结业考核。</w:t>
            </w:r>
          </w:p>
        </w:tc>
      </w:tr>
      <w:tr w14:paraId="6C2AA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605" w:type="dxa"/>
            <w:vAlign w:val="center"/>
          </w:tcPr>
          <w:p w14:paraId="2B1FCF7D">
            <w:pPr>
              <w:rPr>
                <w:rFonts w:hint="default"/>
                <w:b w:val="0"/>
                <w:bCs w:val="0"/>
                <w:color w:val="808080" w:themeColor="background1" w:themeShade="80"/>
                <w:lang w:val="en-US" w:eastAsia="zh-CN"/>
              </w:rPr>
            </w:pPr>
            <w:r>
              <w:rPr>
                <w:rFonts w:hint="eastAsia"/>
                <w:b/>
                <w:bCs/>
                <w:lang w:val="en-US" w:eastAsia="zh-CN"/>
              </w:rPr>
              <w:t>教学目标</w:t>
            </w:r>
          </w:p>
        </w:tc>
        <w:tc>
          <w:tcPr>
            <w:tcW w:w="6917" w:type="dxa"/>
            <w:gridSpan w:val="2"/>
            <w:vAlign w:val="center"/>
          </w:tcPr>
          <w:p w14:paraId="3D48B4D7">
            <w:pPr>
              <w:pStyle w:val="2"/>
              <w:keepNext w:val="0"/>
              <w:keepLines w:val="0"/>
              <w:pageBreakBefore w:val="0"/>
              <w:widowControl w:val="0"/>
              <w:numPr>
                <w:ilvl w:val="0"/>
                <w:numId w:val="0"/>
              </w:numPr>
              <w:kinsoku/>
              <w:wordWrap/>
              <w:overflowPunct/>
              <w:topLinePunct w:val="0"/>
              <w:autoSpaceDE/>
              <w:autoSpaceDN/>
              <w:bidi w:val="0"/>
              <w:adjustRightInd/>
              <w:snapToGrid/>
              <w:spacing w:after="0" w:line="360" w:lineRule="auto"/>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进修医师1.掌握病理科常见标本的规范化取材及记录；2.掌握病理科常见疾病的病理诊断方法和技能，能够独立完成常规病理报告；3.熟悉免疫组化和分子病理技术的应用；4.熟悉病理标本固定、脱水、包埋、染色、切片等技术。</w:t>
            </w:r>
          </w:p>
          <w:p w14:paraId="1CCB4021">
            <w:pPr>
              <w:pStyle w:val="2"/>
              <w:keepNext w:val="0"/>
              <w:keepLines w:val="0"/>
              <w:pageBreakBefore w:val="0"/>
              <w:widowControl w:val="0"/>
              <w:numPr>
                <w:ilvl w:val="0"/>
                <w:numId w:val="0"/>
              </w:numPr>
              <w:kinsoku/>
              <w:wordWrap/>
              <w:overflowPunct/>
              <w:topLinePunct w:val="0"/>
              <w:autoSpaceDE/>
              <w:autoSpaceDN/>
              <w:bidi w:val="0"/>
              <w:adjustRightInd/>
              <w:snapToGrid/>
              <w:spacing w:after="0" w:line="360" w:lineRule="auto"/>
              <w:textAlignment w:val="auto"/>
              <w:rPr>
                <w:rFonts w:hint="default" w:ascii="Times New Roman" w:hAnsi="Times New Roman" w:eastAsia="宋体" w:cs="Times New Roman"/>
                <w:b w:val="0"/>
                <w:bCs w:val="0"/>
                <w:color w:val="auto"/>
                <w:sz w:val="28"/>
                <w:szCs w:val="28"/>
                <w:lang w:val="en-US" w:eastAsia="zh-CN"/>
              </w:rPr>
            </w:pPr>
            <w:r>
              <w:rPr>
                <w:rFonts w:hint="eastAsia" w:ascii="宋体" w:hAnsi="宋体" w:eastAsia="宋体" w:cs="宋体"/>
                <w:b w:val="0"/>
                <w:bCs w:val="0"/>
                <w:color w:val="auto"/>
                <w:sz w:val="21"/>
                <w:szCs w:val="21"/>
                <w:lang w:val="en-US" w:eastAsia="zh-CN"/>
              </w:rPr>
              <w:t>进修技师：1.了解病理科工作流程；2.熟悉并掌握常规病理学技术方法及原理3.熟悉并掌握细胞学病理技术方法及原理；3.熟悉并掌握免疫组化技术及各项辅助诊断技术的方法及原理；4.正确使用各种机器。</w:t>
            </w:r>
          </w:p>
        </w:tc>
      </w:tr>
      <w:tr w14:paraId="0D01C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605" w:type="dxa"/>
            <w:vAlign w:val="center"/>
          </w:tcPr>
          <w:p w14:paraId="4CFC6879">
            <w:pPr>
              <w:jc w:val="left"/>
              <w:rPr>
                <w:rFonts w:hint="eastAsia"/>
                <w:b/>
                <w:bCs/>
                <w:lang w:val="en-US" w:eastAsia="zh-CN"/>
              </w:rPr>
            </w:pPr>
            <w:r>
              <w:rPr>
                <w:rFonts w:hint="eastAsia"/>
                <w:b/>
                <w:bCs/>
                <w:lang w:val="en-US" w:eastAsia="zh-CN"/>
              </w:rPr>
              <w:t>其他说明</w:t>
            </w:r>
          </w:p>
        </w:tc>
        <w:tc>
          <w:tcPr>
            <w:tcW w:w="6917" w:type="dxa"/>
            <w:gridSpan w:val="2"/>
            <w:vAlign w:val="center"/>
          </w:tcPr>
          <w:p w14:paraId="3101607F">
            <w:pPr>
              <w:pStyle w:val="2"/>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default" w:ascii="Times New Roman" w:hAnsi="Times New Roman" w:eastAsia="宋体" w:cs="Times New Roman"/>
                <w:b w:val="0"/>
                <w:bCs w:val="0"/>
                <w:color w:val="auto"/>
                <w:sz w:val="28"/>
                <w:szCs w:val="28"/>
                <w:lang w:val="en-US" w:eastAsia="zh-CN"/>
              </w:rPr>
            </w:pPr>
          </w:p>
        </w:tc>
      </w:tr>
    </w:tbl>
    <w:p w14:paraId="0A658DFA">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1NWJhN2IwODAyYjMxYjEzYWJhNjkyNzM5OTY4NDEifQ=="/>
  </w:docVars>
  <w:rsids>
    <w:rsidRoot w:val="00000000"/>
    <w:rsid w:val="001526E3"/>
    <w:rsid w:val="00E86CA1"/>
    <w:rsid w:val="01422176"/>
    <w:rsid w:val="015B3238"/>
    <w:rsid w:val="01BD616A"/>
    <w:rsid w:val="02151639"/>
    <w:rsid w:val="0328539C"/>
    <w:rsid w:val="03343D40"/>
    <w:rsid w:val="037107E0"/>
    <w:rsid w:val="03D936BF"/>
    <w:rsid w:val="03DB0660"/>
    <w:rsid w:val="04C9670A"/>
    <w:rsid w:val="0511564D"/>
    <w:rsid w:val="05593CCD"/>
    <w:rsid w:val="059A3C03"/>
    <w:rsid w:val="05C375FE"/>
    <w:rsid w:val="063B3638"/>
    <w:rsid w:val="075C73C2"/>
    <w:rsid w:val="07F608C5"/>
    <w:rsid w:val="08CB0CA3"/>
    <w:rsid w:val="096B4234"/>
    <w:rsid w:val="09945539"/>
    <w:rsid w:val="09D5345C"/>
    <w:rsid w:val="0A2A0EF0"/>
    <w:rsid w:val="0A430D0D"/>
    <w:rsid w:val="0A454A85"/>
    <w:rsid w:val="0B226B74"/>
    <w:rsid w:val="0B8E7D66"/>
    <w:rsid w:val="0BE61950"/>
    <w:rsid w:val="0C132387"/>
    <w:rsid w:val="0C4F74F5"/>
    <w:rsid w:val="0D2250C8"/>
    <w:rsid w:val="0D927FE1"/>
    <w:rsid w:val="0DE06E5B"/>
    <w:rsid w:val="0DF02F5A"/>
    <w:rsid w:val="0E666D78"/>
    <w:rsid w:val="0E71409B"/>
    <w:rsid w:val="0F476BAA"/>
    <w:rsid w:val="0F6C4862"/>
    <w:rsid w:val="0FEF171B"/>
    <w:rsid w:val="10401F77"/>
    <w:rsid w:val="10795489"/>
    <w:rsid w:val="10E53C02"/>
    <w:rsid w:val="11D54941"/>
    <w:rsid w:val="11FA7F03"/>
    <w:rsid w:val="121A05A5"/>
    <w:rsid w:val="131E40C5"/>
    <w:rsid w:val="13C60364"/>
    <w:rsid w:val="13DA4490"/>
    <w:rsid w:val="14681A9C"/>
    <w:rsid w:val="146F2E2A"/>
    <w:rsid w:val="147D6BCA"/>
    <w:rsid w:val="14BF5434"/>
    <w:rsid w:val="163A66BD"/>
    <w:rsid w:val="167D49CE"/>
    <w:rsid w:val="168D57EA"/>
    <w:rsid w:val="16FF7D6A"/>
    <w:rsid w:val="176E33DE"/>
    <w:rsid w:val="180C6BE2"/>
    <w:rsid w:val="18664544"/>
    <w:rsid w:val="18B0756E"/>
    <w:rsid w:val="1AC0431E"/>
    <w:rsid w:val="1B590390"/>
    <w:rsid w:val="1B593774"/>
    <w:rsid w:val="1C764692"/>
    <w:rsid w:val="1C907DE2"/>
    <w:rsid w:val="1CB3762C"/>
    <w:rsid w:val="1E2457CF"/>
    <w:rsid w:val="1E4C7D38"/>
    <w:rsid w:val="1EC10726"/>
    <w:rsid w:val="1EE14925"/>
    <w:rsid w:val="1EF74148"/>
    <w:rsid w:val="1F341F3B"/>
    <w:rsid w:val="1FCF6E73"/>
    <w:rsid w:val="20B16579"/>
    <w:rsid w:val="21354AB4"/>
    <w:rsid w:val="21A63C04"/>
    <w:rsid w:val="23294AEC"/>
    <w:rsid w:val="2366189C"/>
    <w:rsid w:val="23A777BF"/>
    <w:rsid w:val="24877D1C"/>
    <w:rsid w:val="25357FF5"/>
    <w:rsid w:val="254C061E"/>
    <w:rsid w:val="256E2C8A"/>
    <w:rsid w:val="258E6E89"/>
    <w:rsid w:val="25960BBC"/>
    <w:rsid w:val="27041EA4"/>
    <w:rsid w:val="272F6449"/>
    <w:rsid w:val="27B34984"/>
    <w:rsid w:val="280C7C7B"/>
    <w:rsid w:val="28305FD5"/>
    <w:rsid w:val="283B06DD"/>
    <w:rsid w:val="28520641"/>
    <w:rsid w:val="28986222"/>
    <w:rsid w:val="28B5472C"/>
    <w:rsid w:val="28EC760A"/>
    <w:rsid w:val="291B4ED7"/>
    <w:rsid w:val="299F78B6"/>
    <w:rsid w:val="2A830085"/>
    <w:rsid w:val="2AB63109"/>
    <w:rsid w:val="2B512CEB"/>
    <w:rsid w:val="2CB90C8F"/>
    <w:rsid w:val="2DDB69E3"/>
    <w:rsid w:val="2E933762"/>
    <w:rsid w:val="2F067A90"/>
    <w:rsid w:val="2F666780"/>
    <w:rsid w:val="2FC94CF1"/>
    <w:rsid w:val="2FE36023"/>
    <w:rsid w:val="303959AF"/>
    <w:rsid w:val="304545E8"/>
    <w:rsid w:val="30880CB8"/>
    <w:rsid w:val="30EB1633"/>
    <w:rsid w:val="31A16195"/>
    <w:rsid w:val="32D9327A"/>
    <w:rsid w:val="335F00B6"/>
    <w:rsid w:val="336456CD"/>
    <w:rsid w:val="339064C2"/>
    <w:rsid w:val="33B45D0C"/>
    <w:rsid w:val="33FF585B"/>
    <w:rsid w:val="340C3D9A"/>
    <w:rsid w:val="349618B6"/>
    <w:rsid w:val="34F0546A"/>
    <w:rsid w:val="357E00BD"/>
    <w:rsid w:val="35942299"/>
    <w:rsid w:val="35AA386B"/>
    <w:rsid w:val="35B20971"/>
    <w:rsid w:val="35BA0AF5"/>
    <w:rsid w:val="364C2B74"/>
    <w:rsid w:val="372B09DB"/>
    <w:rsid w:val="388A7983"/>
    <w:rsid w:val="38FB262F"/>
    <w:rsid w:val="39111E53"/>
    <w:rsid w:val="39194863"/>
    <w:rsid w:val="395F2BBE"/>
    <w:rsid w:val="3A0F6392"/>
    <w:rsid w:val="3A2B0CF2"/>
    <w:rsid w:val="3A762405"/>
    <w:rsid w:val="3ABE1B66"/>
    <w:rsid w:val="3B43343F"/>
    <w:rsid w:val="3B792451"/>
    <w:rsid w:val="3BC9431F"/>
    <w:rsid w:val="3C674EB4"/>
    <w:rsid w:val="3C8F37BA"/>
    <w:rsid w:val="3CFB3737"/>
    <w:rsid w:val="3DCB6A74"/>
    <w:rsid w:val="40104C12"/>
    <w:rsid w:val="409C46F8"/>
    <w:rsid w:val="41586871"/>
    <w:rsid w:val="41CC4B69"/>
    <w:rsid w:val="41DF2AEE"/>
    <w:rsid w:val="41F83BB0"/>
    <w:rsid w:val="42165DE4"/>
    <w:rsid w:val="425828A0"/>
    <w:rsid w:val="42582BC1"/>
    <w:rsid w:val="42750D5C"/>
    <w:rsid w:val="42B62C5F"/>
    <w:rsid w:val="453E18DA"/>
    <w:rsid w:val="45912B2C"/>
    <w:rsid w:val="459A6EB3"/>
    <w:rsid w:val="45D16BF2"/>
    <w:rsid w:val="45DC402A"/>
    <w:rsid w:val="46E82445"/>
    <w:rsid w:val="475573AE"/>
    <w:rsid w:val="477738A5"/>
    <w:rsid w:val="482F2EE1"/>
    <w:rsid w:val="49AD34D2"/>
    <w:rsid w:val="4A655B5A"/>
    <w:rsid w:val="4A91762E"/>
    <w:rsid w:val="4B090BDC"/>
    <w:rsid w:val="4C481290"/>
    <w:rsid w:val="4CE7337C"/>
    <w:rsid w:val="4CF11927"/>
    <w:rsid w:val="4D2F41FE"/>
    <w:rsid w:val="4D665E71"/>
    <w:rsid w:val="4D6E4D26"/>
    <w:rsid w:val="4EE47996"/>
    <w:rsid w:val="50B769E4"/>
    <w:rsid w:val="51167BAE"/>
    <w:rsid w:val="51395EF7"/>
    <w:rsid w:val="5151508A"/>
    <w:rsid w:val="52354064"/>
    <w:rsid w:val="52D95337"/>
    <w:rsid w:val="53095C1D"/>
    <w:rsid w:val="53566988"/>
    <w:rsid w:val="54794602"/>
    <w:rsid w:val="549F72A4"/>
    <w:rsid w:val="554F7B33"/>
    <w:rsid w:val="56412C14"/>
    <w:rsid w:val="56B75990"/>
    <w:rsid w:val="56C87B9D"/>
    <w:rsid w:val="56E66E44"/>
    <w:rsid w:val="574511ED"/>
    <w:rsid w:val="5846521D"/>
    <w:rsid w:val="590B1FC3"/>
    <w:rsid w:val="5B5A1312"/>
    <w:rsid w:val="5BAF2428"/>
    <w:rsid w:val="5BD963A8"/>
    <w:rsid w:val="5BF916F7"/>
    <w:rsid w:val="5C5B500F"/>
    <w:rsid w:val="5D4B22C5"/>
    <w:rsid w:val="5DBE13B2"/>
    <w:rsid w:val="5F4E7775"/>
    <w:rsid w:val="604242F8"/>
    <w:rsid w:val="60F021CA"/>
    <w:rsid w:val="618648DC"/>
    <w:rsid w:val="61A60ADB"/>
    <w:rsid w:val="61C13B66"/>
    <w:rsid w:val="64940E3A"/>
    <w:rsid w:val="64D12312"/>
    <w:rsid w:val="676E209B"/>
    <w:rsid w:val="67B81568"/>
    <w:rsid w:val="68684D3C"/>
    <w:rsid w:val="695A0B28"/>
    <w:rsid w:val="69E14DA6"/>
    <w:rsid w:val="6A022F6E"/>
    <w:rsid w:val="6A042842"/>
    <w:rsid w:val="6A1707C7"/>
    <w:rsid w:val="6A3B3D8A"/>
    <w:rsid w:val="6A7774B8"/>
    <w:rsid w:val="6A94006A"/>
    <w:rsid w:val="6CBA7B30"/>
    <w:rsid w:val="6CE95D1F"/>
    <w:rsid w:val="6DAA1953"/>
    <w:rsid w:val="6E241705"/>
    <w:rsid w:val="6E6E2980"/>
    <w:rsid w:val="6E881C94"/>
    <w:rsid w:val="6EA97E5C"/>
    <w:rsid w:val="6EC30F1E"/>
    <w:rsid w:val="6EDF562C"/>
    <w:rsid w:val="6F285225"/>
    <w:rsid w:val="6F7C43DB"/>
    <w:rsid w:val="6FB22D40"/>
    <w:rsid w:val="70C525FF"/>
    <w:rsid w:val="71015D2D"/>
    <w:rsid w:val="722241AD"/>
    <w:rsid w:val="72FF17B8"/>
    <w:rsid w:val="73565040"/>
    <w:rsid w:val="73FC0A2E"/>
    <w:rsid w:val="74055B35"/>
    <w:rsid w:val="74237D69"/>
    <w:rsid w:val="74463A57"/>
    <w:rsid w:val="75CA34C7"/>
    <w:rsid w:val="75F91D1B"/>
    <w:rsid w:val="75FE6CDF"/>
    <w:rsid w:val="76432944"/>
    <w:rsid w:val="77190713"/>
    <w:rsid w:val="774C5829"/>
    <w:rsid w:val="784B788E"/>
    <w:rsid w:val="7A2E1215"/>
    <w:rsid w:val="7BAD3024"/>
    <w:rsid w:val="7CC3397C"/>
    <w:rsid w:val="7CEA1D6C"/>
    <w:rsid w:val="7D344D95"/>
    <w:rsid w:val="7D371257"/>
    <w:rsid w:val="7D440B87"/>
    <w:rsid w:val="7D8555F0"/>
    <w:rsid w:val="7DC10D1E"/>
    <w:rsid w:val="7EB066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1271</Words>
  <Characters>1295</Characters>
  <Lines>0</Lines>
  <Paragraphs>0</Paragraphs>
  <TotalTime>0</TotalTime>
  <ScaleCrop>false</ScaleCrop>
  <LinksUpToDate>false</LinksUpToDate>
  <CharactersWithSpaces>1301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2025-11-10T07:04:00Z</dcterms:created>
  <dc:creator>Administrator</dc:creator>
  <cp:lastModifiedBy>佛系</cp:lastModifiedBy>
  <dcterms:modified xsi:type="dcterms:W3CDTF">2025-11-17T04:36:46Z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KSOTemplateDocerSaveRecord">
    <vt:lpwstr>eyJoZGlkIjoiYTU2NWE4NzRiMmMyMWJkMTNjNmIyMDkyM2ViYjAxZWYiLCJ1c2VySWQiOiIzMzE3NjE3MzIifQ==</vt:lpwstr>
  </property>
  <property fmtid="{D5CDD505-2E9C-101B-9397-08002B2CF9AE}" pid="4" name="ICV">
    <vt:lpwstr>851690B6EC96402886565D592777E0F5_12</vt:lpwstr>
  </property>
</Properties>
</file>